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B88DC" w14:textId="07D7B385" w:rsidR="00BB4B8F" w:rsidRDefault="00D90363" w:rsidP="005F271D">
      <w:pPr>
        <w:pStyle w:val="Body"/>
        <w:rPr>
          <w:rFonts w:ascii="Calibri" w:hAnsi="Calibri"/>
          <w:b/>
          <w:bCs/>
          <w:sz w:val="22"/>
          <w:szCs w:val="22"/>
        </w:rPr>
      </w:pPr>
      <w:r>
        <w:rPr>
          <w:rFonts w:ascii="Calibri" w:hAnsi="Calibri"/>
          <w:b/>
          <w:bCs/>
          <w:sz w:val="22"/>
          <w:szCs w:val="22"/>
        </w:rPr>
        <w:t xml:space="preserve">FOR IMMEDIATE RELEASE </w:t>
      </w:r>
    </w:p>
    <w:p w14:paraId="0C590783" w14:textId="33764809" w:rsidR="005F271D" w:rsidRDefault="005F271D" w:rsidP="005F271D">
      <w:pPr>
        <w:pStyle w:val="Body"/>
        <w:rPr>
          <w:rFonts w:ascii="Calibri" w:hAnsi="Calibri"/>
          <w:b/>
          <w:bCs/>
          <w:sz w:val="22"/>
          <w:szCs w:val="22"/>
        </w:rPr>
      </w:pPr>
      <w:r>
        <w:rPr>
          <w:noProof/>
        </w:rPr>
        <w:drawing>
          <wp:anchor distT="57150" distB="57150" distL="57150" distR="57150" simplePos="0" relativeHeight="251659264" behindDoc="0" locked="0" layoutInCell="1" allowOverlap="1" wp14:anchorId="29D430BE" wp14:editId="27749A1E">
            <wp:simplePos x="0" y="0"/>
            <wp:positionH relativeFrom="page">
              <wp:posOffset>3347720</wp:posOffset>
            </wp:positionH>
            <wp:positionV relativeFrom="paragraph">
              <wp:posOffset>131445</wp:posOffset>
            </wp:positionV>
            <wp:extent cx="1051560" cy="927100"/>
            <wp:effectExtent l="0" t="0" r="0" b="6350"/>
            <wp:wrapThrough wrapText="bothSides" distL="57150" distR="57150">
              <wp:wrapPolygon edited="1">
                <wp:start x="11355" y="3778"/>
                <wp:lineTo x="12294" y="4068"/>
                <wp:lineTo x="13916" y="5424"/>
                <wp:lineTo x="16136" y="5618"/>
                <wp:lineTo x="17160" y="5618"/>
                <wp:lineTo x="18185" y="5134"/>
                <wp:lineTo x="21258" y="5327"/>
                <wp:lineTo x="21429" y="21503"/>
                <wp:lineTo x="0" y="21503"/>
                <wp:lineTo x="85" y="7071"/>
                <wp:lineTo x="2305" y="6683"/>
                <wp:lineTo x="6318" y="4359"/>
                <wp:lineTo x="8196" y="4262"/>
                <wp:lineTo x="10587" y="4262"/>
                <wp:lineTo x="11355" y="3778"/>
              </wp:wrapPolygon>
            </wp:wrapThrough>
            <wp:docPr id="1073741825" name="officeArt object" descr="A picture containing text, natur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text, natureDescription automatically generated" descr="A picture containing text, natureDescription automatically generated"/>
                    <pic:cNvPicPr>
                      <a:picLocks noChangeAspect="1"/>
                    </pic:cNvPicPr>
                  </pic:nvPicPr>
                  <pic:blipFill>
                    <a:blip r:embed="rId7"/>
                    <a:stretch>
                      <a:fillRect/>
                    </a:stretch>
                  </pic:blipFill>
                  <pic:spPr>
                    <a:xfrm>
                      <a:off x="0" y="0"/>
                      <a:ext cx="1051560" cy="927100"/>
                    </a:xfrm>
                    <a:prstGeom prst="rect">
                      <a:avLst/>
                    </a:prstGeom>
                    <a:ln w="12700" cap="flat">
                      <a:noFill/>
                      <a:miter lim="400000"/>
                    </a:ln>
                    <a:effectLst/>
                  </pic:spPr>
                </pic:pic>
              </a:graphicData>
            </a:graphic>
          </wp:anchor>
        </w:drawing>
      </w:r>
    </w:p>
    <w:p w14:paraId="740E1FAF" w14:textId="31D5976C" w:rsidR="00BB4B8F" w:rsidRDefault="00BB4B8F" w:rsidP="005F271D">
      <w:pPr>
        <w:pStyle w:val="Body"/>
        <w:rPr>
          <w:rFonts w:ascii="Calibri" w:eastAsia="Calibri" w:hAnsi="Calibri" w:cs="Calibri"/>
          <w:b/>
          <w:bCs/>
          <w:sz w:val="22"/>
          <w:szCs w:val="22"/>
        </w:rPr>
      </w:pPr>
    </w:p>
    <w:p w14:paraId="5CE26C84" w14:textId="77777777" w:rsidR="00BB4B8F" w:rsidRDefault="00BB4B8F">
      <w:pPr>
        <w:pStyle w:val="Body"/>
        <w:rPr>
          <w:rFonts w:ascii="Calibri" w:eastAsia="Calibri" w:hAnsi="Calibri" w:cs="Calibri"/>
          <w:b/>
          <w:bCs/>
          <w:sz w:val="22"/>
          <w:szCs w:val="22"/>
        </w:rPr>
      </w:pPr>
    </w:p>
    <w:p w14:paraId="7569EC2D" w14:textId="77777777" w:rsidR="00BB4B8F" w:rsidRDefault="00BB4B8F">
      <w:pPr>
        <w:pStyle w:val="Body"/>
        <w:jc w:val="center"/>
        <w:rPr>
          <w:rFonts w:ascii="Calibri" w:eastAsia="Calibri" w:hAnsi="Calibri" w:cs="Calibri"/>
          <w:b/>
          <w:bCs/>
          <w:sz w:val="22"/>
          <w:szCs w:val="22"/>
        </w:rPr>
      </w:pPr>
    </w:p>
    <w:p w14:paraId="7B966D96" w14:textId="77777777" w:rsidR="00BB4B8F" w:rsidRPr="004652E5" w:rsidRDefault="00D90363">
      <w:pPr>
        <w:pStyle w:val="Body"/>
        <w:spacing w:after="0"/>
        <w:jc w:val="center"/>
        <w:rPr>
          <w:rFonts w:ascii="Calibri" w:eastAsia="Calibri" w:hAnsi="Calibri" w:cs="Calibri"/>
          <w:b/>
          <w:bCs/>
          <w:sz w:val="28"/>
          <w:szCs w:val="28"/>
        </w:rPr>
      </w:pPr>
      <w:r w:rsidRPr="004652E5">
        <w:rPr>
          <w:rFonts w:ascii="Calibri" w:hAnsi="Calibri"/>
          <w:b/>
          <w:bCs/>
          <w:sz w:val="28"/>
          <w:szCs w:val="28"/>
        </w:rPr>
        <w:t>Clearlake Capital to Acquire MV Credit from Natixis Investment Managers,</w:t>
      </w:r>
    </w:p>
    <w:p w14:paraId="54F6FB6B" w14:textId="163456B6" w:rsidR="00BB4B8F" w:rsidRPr="004652E5" w:rsidRDefault="00D90363">
      <w:pPr>
        <w:pStyle w:val="Body"/>
        <w:spacing w:after="0"/>
        <w:jc w:val="center"/>
        <w:rPr>
          <w:rFonts w:ascii="Calibri" w:eastAsia="Calibri" w:hAnsi="Calibri" w:cs="Calibri"/>
          <w:b/>
          <w:bCs/>
          <w:sz w:val="28"/>
          <w:szCs w:val="28"/>
        </w:rPr>
      </w:pPr>
      <w:r w:rsidRPr="004652E5">
        <w:rPr>
          <w:rFonts w:ascii="Calibri" w:hAnsi="Calibri"/>
          <w:b/>
          <w:bCs/>
          <w:sz w:val="28"/>
          <w:szCs w:val="28"/>
        </w:rPr>
        <w:t>Expanding</w:t>
      </w:r>
      <w:r w:rsidR="002C79D4" w:rsidRPr="004652E5">
        <w:rPr>
          <w:rFonts w:ascii="Calibri" w:hAnsi="Calibri"/>
          <w:b/>
          <w:bCs/>
          <w:sz w:val="28"/>
          <w:szCs w:val="28"/>
        </w:rPr>
        <w:t xml:space="preserve"> </w:t>
      </w:r>
      <w:r w:rsidRPr="004652E5">
        <w:rPr>
          <w:rFonts w:ascii="Calibri" w:hAnsi="Calibri"/>
          <w:b/>
          <w:bCs/>
          <w:sz w:val="28"/>
          <w:szCs w:val="28"/>
        </w:rPr>
        <w:t xml:space="preserve">its Private Credit and </w:t>
      </w:r>
      <w:r w:rsidR="00F12DBA">
        <w:rPr>
          <w:rFonts w:ascii="Calibri" w:hAnsi="Calibri"/>
          <w:b/>
          <w:bCs/>
          <w:sz w:val="28"/>
          <w:szCs w:val="28"/>
        </w:rPr>
        <w:t>Loan Origination</w:t>
      </w:r>
      <w:r w:rsidRPr="004652E5">
        <w:rPr>
          <w:rFonts w:ascii="Calibri" w:hAnsi="Calibri"/>
          <w:b/>
          <w:bCs/>
          <w:sz w:val="28"/>
          <w:szCs w:val="28"/>
        </w:rPr>
        <w:t xml:space="preserve"> Capabilities Worldwide</w:t>
      </w:r>
    </w:p>
    <w:p w14:paraId="22180F51" w14:textId="77777777" w:rsidR="00BB4B8F" w:rsidRPr="004652E5" w:rsidRDefault="00BB4B8F">
      <w:pPr>
        <w:pStyle w:val="Body"/>
        <w:spacing w:after="0"/>
        <w:jc w:val="center"/>
        <w:rPr>
          <w:rFonts w:ascii="Calibri" w:eastAsia="Calibri" w:hAnsi="Calibri" w:cs="Calibri"/>
          <w:b/>
          <w:bCs/>
        </w:rPr>
      </w:pPr>
    </w:p>
    <w:p w14:paraId="12E0E1EB" w14:textId="6CFFC8E5" w:rsidR="008E5F0A" w:rsidRPr="004652E5" w:rsidRDefault="00D90363" w:rsidP="00425AD1">
      <w:pPr>
        <w:pStyle w:val="Body"/>
        <w:jc w:val="center"/>
        <w:rPr>
          <w:rFonts w:ascii="Calibri" w:hAnsi="Calibri"/>
          <w:i/>
          <w:iCs/>
        </w:rPr>
      </w:pPr>
      <w:r w:rsidRPr="004652E5">
        <w:rPr>
          <w:rFonts w:ascii="Calibri" w:hAnsi="Calibri"/>
          <w:i/>
          <w:iCs/>
        </w:rPr>
        <w:t xml:space="preserve">MV Credit </w:t>
      </w:r>
      <w:r w:rsidR="008E5F0A" w:rsidRPr="004652E5">
        <w:rPr>
          <w:rFonts w:ascii="Calibri" w:hAnsi="Calibri"/>
          <w:i/>
          <w:iCs/>
        </w:rPr>
        <w:t>will</w:t>
      </w:r>
      <w:r w:rsidRPr="004652E5">
        <w:rPr>
          <w:rFonts w:ascii="Calibri" w:hAnsi="Calibri"/>
          <w:i/>
          <w:iCs/>
        </w:rPr>
        <w:t xml:space="preserve"> </w:t>
      </w:r>
      <w:r w:rsidR="008E5F0A" w:rsidRPr="004652E5">
        <w:rPr>
          <w:rFonts w:ascii="Calibri" w:hAnsi="Calibri"/>
          <w:i/>
          <w:iCs/>
        </w:rPr>
        <w:t>Significantly Enhance Clearlake’s</w:t>
      </w:r>
      <w:r w:rsidRPr="004652E5">
        <w:rPr>
          <w:rFonts w:ascii="Calibri" w:hAnsi="Calibri"/>
          <w:i/>
          <w:iCs/>
        </w:rPr>
        <w:t xml:space="preserve"> </w:t>
      </w:r>
      <w:r w:rsidR="008E5F0A" w:rsidRPr="004652E5">
        <w:rPr>
          <w:rFonts w:ascii="Calibri" w:hAnsi="Calibri"/>
          <w:i/>
          <w:iCs/>
        </w:rPr>
        <w:t>Capabilities in Direct Lending and Private Credit to Sponsors</w:t>
      </w:r>
      <w:r w:rsidR="00360EB6" w:rsidRPr="004652E5">
        <w:rPr>
          <w:rFonts w:ascii="Calibri" w:hAnsi="Calibri"/>
          <w:i/>
          <w:iCs/>
        </w:rPr>
        <w:t xml:space="preserve"> and Other Clients</w:t>
      </w:r>
    </w:p>
    <w:p w14:paraId="5BCA9645" w14:textId="1C0705EA" w:rsidR="00BB4B8F" w:rsidRPr="004652E5" w:rsidRDefault="00D90363" w:rsidP="00425AD1">
      <w:pPr>
        <w:pStyle w:val="Body"/>
        <w:jc w:val="center"/>
        <w:rPr>
          <w:rFonts w:ascii="Calibri" w:eastAsia="Calibri" w:hAnsi="Calibri" w:cs="Calibri"/>
          <w:i/>
          <w:iCs/>
        </w:rPr>
      </w:pPr>
      <w:r w:rsidRPr="004652E5">
        <w:rPr>
          <w:rFonts w:ascii="Calibri" w:hAnsi="Calibri"/>
          <w:i/>
          <w:iCs/>
        </w:rPr>
        <w:t xml:space="preserve">MV Credit Acquisition will Bring Clearlake’s AUM to Over $90 Billion and Clearlake </w:t>
      </w:r>
      <w:r w:rsidRPr="004652E5">
        <w:rPr>
          <w:rFonts w:ascii="Calibri" w:hAnsi="Calibri"/>
          <w:i/>
          <w:iCs/>
          <w:lang w:val="nl-NL"/>
        </w:rPr>
        <w:t xml:space="preserve">Credit </w:t>
      </w:r>
      <w:r w:rsidRPr="004652E5">
        <w:rPr>
          <w:rFonts w:ascii="Calibri" w:hAnsi="Calibri"/>
          <w:i/>
          <w:iCs/>
        </w:rPr>
        <w:t>AUM</w:t>
      </w:r>
      <w:r w:rsidR="00425AD1">
        <w:rPr>
          <w:rFonts w:ascii="Calibri" w:hAnsi="Calibri"/>
          <w:i/>
          <w:iCs/>
        </w:rPr>
        <w:t xml:space="preserve"> </w:t>
      </w:r>
      <w:r w:rsidRPr="004652E5">
        <w:rPr>
          <w:rFonts w:ascii="Calibri" w:hAnsi="Calibri"/>
          <w:i/>
          <w:iCs/>
        </w:rPr>
        <w:t xml:space="preserve"> to Over $</w:t>
      </w:r>
      <w:r w:rsidR="0037229D">
        <w:rPr>
          <w:rFonts w:ascii="Calibri" w:hAnsi="Calibri"/>
          <w:i/>
          <w:iCs/>
        </w:rPr>
        <w:t>28</w:t>
      </w:r>
      <w:r w:rsidRPr="004652E5">
        <w:rPr>
          <w:rFonts w:ascii="Calibri" w:hAnsi="Calibri"/>
          <w:i/>
          <w:iCs/>
        </w:rPr>
        <w:t xml:space="preserve"> Billion</w:t>
      </w:r>
    </w:p>
    <w:p w14:paraId="05F3BDAC" w14:textId="7C088C9E" w:rsidR="00BB4B8F" w:rsidRPr="004652E5" w:rsidRDefault="00D90363" w:rsidP="00727302">
      <w:pPr>
        <w:pStyle w:val="Body"/>
        <w:spacing w:before="240" w:line="276" w:lineRule="auto"/>
        <w:jc w:val="both"/>
        <w:rPr>
          <w:rFonts w:ascii="Calibri" w:eastAsia="Calibri" w:hAnsi="Calibri" w:cs="Calibri"/>
          <w:sz w:val="22"/>
          <w:szCs w:val="22"/>
        </w:rPr>
      </w:pPr>
      <w:r w:rsidRPr="004652E5">
        <w:rPr>
          <w:rFonts w:ascii="Calibri" w:hAnsi="Calibri" w:cs="Calibri"/>
          <w:sz w:val="22"/>
          <w:szCs w:val="22"/>
        </w:rPr>
        <w:t xml:space="preserve">SANTA MONICA, CA and LONDON, UK – </w:t>
      </w:r>
      <w:r w:rsidR="00360EB6" w:rsidRPr="004652E5">
        <w:rPr>
          <w:rFonts w:ascii="Calibri" w:hAnsi="Calibri" w:cs="Calibri"/>
          <w:sz w:val="22"/>
          <w:szCs w:val="22"/>
        </w:rPr>
        <w:t>September</w:t>
      </w:r>
      <w:r w:rsidRPr="004652E5">
        <w:rPr>
          <w:rFonts w:ascii="Calibri" w:hAnsi="Calibri" w:cs="Calibri"/>
          <w:sz w:val="22"/>
          <w:szCs w:val="22"/>
        </w:rPr>
        <w:t xml:space="preserve"> </w:t>
      </w:r>
      <w:r w:rsidR="0037229D">
        <w:rPr>
          <w:rFonts w:ascii="Calibri" w:hAnsi="Calibri" w:cs="Calibri"/>
          <w:sz w:val="22"/>
          <w:szCs w:val="22"/>
        </w:rPr>
        <w:t>3</w:t>
      </w:r>
      <w:r w:rsidRPr="004652E5">
        <w:rPr>
          <w:rFonts w:ascii="Calibri" w:hAnsi="Calibri" w:cs="Calibri"/>
          <w:sz w:val="22"/>
          <w:szCs w:val="22"/>
        </w:rPr>
        <w:t>, 2024 – Clearlake Capital Group, L.P. (“Clearlake” or the “Firm”), an investment firm founded in 2006 operating integrated businesses across private equity, credit and other related strategies, today announced that it has agreed to acquire MV Credit, a pan-European private credit specialist, from Natixis Investment Managers (“Natixis</w:t>
      </w:r>
      <w:r w:rsidR="006F52B2" w:rsidRPr="004652E5">
        <w:rPr>
          <w:rFonts w:ascii="Calibri" w:hAnsi="Calibri" w:cs="Calibri"/>
          <w:sz w:val="22"/>
          <w:szCs w:val="22"/>
        </w:rPr>
        <w:t xml:space="preserve"> IM</w:t>
      </w:r>
      <w:r w:rsidRPr="004652E5">
        <w:rPr>
          <w:rFonts w:ascii="Calibri" w:hAnsi="Calibri" w:cs="Calibri"/>
          <w:sz w:val="22"/>
          <w:szCs w:val="22"/>
        </w:rPr>
        <w:t>”). The acquisition is expected to close in the fourth quarter of 2024, subject to customary closing conditions.</w:t>
      </w:r>
    </w:p>
    <w:p w14:paraId="72C01279" w14:textId="5EFE71D6" w:rsidR="00BB4B8F" w:rsidRPr="004652E5" w:rsidRDefault="00D90363" w:rsidP="00727302">
      <w:pPr>
        <w:pStyle w:val="Body"/>
        <w:spacing w:before="240" w:line="276" w:lineRule="auto"/>
        <w:jc w:val="both"/>
        <w:rPr>
          <w:rFonts w:ascii="Calibri" w:hAnsi="Calibri" w:cs="Calibri"/>
          <w:sz w:val="22"/>
          <w:szCs w:val="22"/>
        </w:rPr>
      </w:pPr>
      <w:r w:rsidRPr="004652E5">
        <w:rPr>
          <w:rFonts w:ascii="Calibri" w:hAnsi="Calibri" w:cs="Calibri"/>
          <w:sz w:val="22"/>
          <w:szCs w:val="22"/>
        </w:rPr>
        <w:t xml:space="preserve">Founded in 2000 and headquartered in London, MV Credit is an independently managed European private credit specialist. </w:t>
      </w:r>
      <w:r w:rsidR="002C029D" w:rsidRPr="004652E5">
        <w:rPr>
          <w:rFonts w:ascii="Calibri" w:hAnsi="Calibri" w:cs="Calibri"/>
          <w:sz w:val="22"/>
          <w:szCs w:val="22"/>
        </w:rPr>
        <w:t>W</w:t>
      </w:r>
      <w:r w:rsidRPr="004652E5">
        <w:rPr>
          <w:rFonts w:ascii="Calibri" w:hAnsi="Calibri" w:cs="Calibri"/>
          <w:sz w:val="22"/>
          <w:szCs w:val="22"/>
        </w:rPr>
        <w:t xml:space="preserve">ith </w:t>
      </w:r>
      <w:r w:rsidR="002B5202" w:rsidRPr="004652E5">
        <w:rPr>
          <w:rFonts w:ascii="Calibri" w:hAnsi="Calibri" w:cs="Calibri"/>
          <w:sz w:val="22"/>
          <w:szCs w:val="22"/>
        </w:rPr>
        <w:t>$</w:t>
      </w:r>
      <w:r w:rsidRPr="004652E5">
        <w:rPr>
          <w:rFonts w:ascii="Calibri" w:hAnsi="Calibri" w:cs="Calibri"/>
          <w:sz w:val="22"/>
          <w:szCs w:val="22"/>
        </w:rPr>
        <w:t>5.</w:t>
      </w:r>
      <w:r w:rsidR="00AF127F" w:rsidRPr="004652E5">
        <w:rPr>
          <w:rFonts w:ascii="Calibri" w:hAnsi="Calibri" w:cs="Calibri"/>
          <w:sz w:val="22"/>
          <w:szCs w:val="22"/>
        </w:rPr>
        <w:t>1</w:t>
      </w:r>
      <w:r w:rsidRPr="004652E5">
        <w:rPr>
          <w:rFonts w:ascii="Calibri" w:hAnsi="Calibri" w:cs="Calibri"/>
          <w:sz w:val="22"/>
          <w:szCs w:val="22"/>
        </w:rPr>
        <w:t xml:space="preserve"> billion in assets under management (AUM), </w:t>
      </w:r>
      <w:r w:rsidR="002C029D" w:rsidRPr="004652E5">
        <w:rPr>
          <w:rFonts w:ascii="Calibri" w:hAnsi="Calibri" w:cs="Calibri"/>
          <w:sz w:val="22"/>
          <w:szCs w:val="22"/>
        </w:rPr>
        <w:t xml:space="preserve">MV Credit </w:t>
      </w:r>
      <w:r w:rsidRPr="004652E5">
        <w:rPr>
          <w:rFonts w:ascii="Calibri" w:hAnsi="Calibri" w:cs="Calibri"/>
          <w:sz w:val="22"/>
          <w:szCs w:val="22"/>
        </w:rPr>
        <w:t>provides tailored fund solutions to investors across senior direct lending, subordinated direct lending, hybrid, and collateralized loan obligation (CLO) strategies.</w:t>
      </w:r>
      <w:r w:rsidR="00360EB6" w:rsidRPr="004652E5">
        <w:rPr>
          <w:rFonts w:ascii="Calibri" w:hAnsi="Calibri" w:cs="Calibri"/>
          <w:sz w:val="22"/>
          <w:szCs w:val="22"/>
        </w:rPr>
        <w:t xml:space="preserve"> </w:t>
      </w:r>
      <w:r w:rsidR="00191445" w:rsidRPr="004652E5">
        <w:rPr>
          <w:rFonts w:ascii="Calibri" w:hAnsi="Calibri" w:cs="Calibri"/>
          <w:sz w:val="22"/>
          <w:szCs w:val="22"/>
        </w:rPr>
        <w:t>MV Credit has deployed more than $</w:t>
      </w:r>
      <w:r w:rsidR="0067650E" w:rsidRPr="004652E5">
        <w:rPr>
          <w:rFonts w:ascii="Calibri" w:hAnsi="Calibri" w:cs="Calibri"/>
          <w:sz w:val="22"/>
          <w:szCs w:val="22"/>
        </w:rPr>
        <w:t>1</w:t>
      </w:r>
      <w:r w:rsidR="00776632" w:rsidRPr="004652E5">
        <w:rPr>
          <w:rFonts w:ascii="Calibri" w:hAnsi="Calibri" w:cs="Calibri"/>
          <w:sz w:val="22"/>
          <w:szCs w:val="22"/>
        </w:rPr>
        <w:t>1</w:t>
      </w:r>
      <w:r w:rsidR="00191445" w:rsidRPr="004652E5">
        <w:rPr>
          <w:rFonts w:ascii="Calibri" w:hAnsi="Calibri" w:cs="Calibri"/>
          <w:sz w:val="22"/>
          <w:szCs w:val="22"/>
        </w:rPr>
        <w:t xml:space="preserve"> billion since its inception, leading over </w:t>
      </w:r>
      <w:r w:rsidR="00AF127F" w:rsidRPr="004652E5">
        <w:rPr>
          <w:rFonts w:ascii="Calibri" w:hAnsi="Calibri" w:cs="Calibri"/>
          <w:sz w:val="22"/>
          <w:szCs w:val="22"/>
        </w:rPr>
        <w:t>5</w:t>
      </w:r>
      <w:r w:rsidR="00191445" w:rsidRPr="004652E5">
        <w:rPr>
          <w:rFonts w:ascii="Calibri" w:hAnsi="Calibri" w:cs="Calibri"/>
          <w:sz w:val="22"/>
          <w:szCs w:val="22"/>
        </w:rPr>
        <w:t xml:space="preserve">00 bespoke transactions of up to $500 million </w:t>
      </w:r>
      <w:r w:rsidR="00AD13A9" w:rsidRPr="004652E5">
        <w:rPr>
          <w:rFonts w:ascii="Calibri" w:hAnsi="Calibri" w:cs="Calibri"/>
          <w:sz w:val="22"/>
          <w:szCs w:val="22"/>
        </w:rPr>
        <w:t xml:space="preserve">with </w:t>
      </w:r>
      <w:r w:rsidR="00191445" w:rsidRPr="004652E5">
        <w:rPr>
          <w:rFonts w:ascii="Calibri" w:hAnsi="Calibri" w:cs="Calibri"/>
          <w:sz w:val="22"/>
          <w:szCs w:val="22"/>
        </w:rPr>
        <w:t>sponsors such as EQT, Nordic Capital, Cinven and Bain Capital</w:t>
      </w:r>
      <w:r w:rsidR="00655660" w:rsidRPr="004652E5">
        <w:rPr>
          <w:rFonts w:ascii="Calibri" w:hAnsi="Calibri" w:cs="Calibri"/>
          <w:sz w:val="22"/>
          <w:szCs w:val="22"/>
        </w:rPr>
        <w:t>.</w:t>
      </w:r>
      <w:r w:rsidR="00191445" w:rsidRPr="004652E5">
        <w:rPr>
          <w:rFonts w:ascii="Calibri" w:hAnsi="Calibri" w:cs="Calibri"/>
          <w:sz w:val="22"/>
          <w:szCs w:val="22"/>
        </w:rPr>
        <w:t xml:space="preserve"> </w:t>
      </w:r>
      <w:r w:rsidRPr="004652E5">
        <w:rPr>
          <w:rFonts w:ascii="Calibri" w:hAnsi="Calibri" w:cs="Calibri"/>
          <w:sz w:val="22"/>
          <w:szCs w:val="22"/>
        </w:rPr>
        <w:t>MV Credit is differentiated by its experienced senior management team, whose members each have more than two decades of investment experience across multiple credit cycles.</w:t>
      </w:r>
    </w:p>
    <w:p w14:paraId="4D91A57D" w14:textId="063931D8" w:rsidR="00BB4B8F" w:rsidRPr="004652E5" w:rsidRDefault="00D90363" w:rsidP="00727302">
      <w:pPr>
        <w:pStyle w:val="Body"/>
        <w:spacing w:before="240" w:line="276" w:lineRule="auto"/>
        <w:jc w:val="both"/>
        <w:rPr>
          <w:rFonts w:ascii="Calibri" w:eastAsia="Calibri" w:hAnsi="Calibri" w:cs="Calibri"/>
          <w:sz w:val="22"/>
          <w:szCs w:val="22"/>
        </w:rPr>
      </w:pPr>
      <w:r w:rsidRPr="004652E5">
        <w:rPr>
          <w:rFonts w:ascii="Calibri" w:hAnsi="Calibri" w:cs="Calibri"/>
          <w:sz w:val="22"/>
          <w:szCs w:val="22"/>
        </w:rPr>
        <w:t>Upon closing, Clearlake’s credit business will have over $</w:t>
      </w:r>
      <w:r w:rsidR="0037229D">
        <w:rPr>
          <w:rFonts w:ascii="Calibri" w:hAnsi="Calibri" w:cs="Calibri"/>
          <w:sz w:val="22"/>
          <w:szCs w:val="22"/>
        </w:rPr>
        <w:t>28</w:t>
      </w:r>
      <w:r w:rsidRPr="004652E5">
        <w:rPr>
          <w:rFonts w:ascii="Calibri" w:hAnsi="Calibri" w:cs="Calibri"/>
          <w:sz w:val="22"/>
          <w:szCs w:val="22"/>
          <w:lang w:val="de-DE"/>
        </w:rPr>
        <w:t xml:space="preserve"> billion AUM, a</w:t>
      </w:r>
      <w:r w:rsidRPr="004652E5">
        <w:rPr>
          <w:rFonts w:ascii="Calibri" w:hAnsi="Calibri" w:cs="Calibri"/>
          <w:sz w:val="22"/>
          <w:szCs w:val="22"/>
        </w:rPr>
        <w:t>s well as firmwide AUM of over $90</w:t>
      </w:r>
      <w:r w:rsidRPr="004652E5">
        <w:rPr>
          <w:rFonts w:ascii="Calibri" w:hAnsi="Calibri" w:cs="Calibri"/>
          <w:sz w:val="22"/>
          <w:szCs w:val="22"/>
          <w:lang w:val="en-GB"/>
        </w:rPr>
        <w:t xml:space="preserve"> </w:t>
      </w:r>
      <w:r w:rsidRPr="004652E5">
        <w:rPr>
          <w:rFonts w:ascii="Calibri" w:hAnsi="Calibri" w:cs="Calibri"/>
          <w:sz w:val="22"/>
          <w:szCs w:val="22"/>
        </w:rPr>
        <w:t xml:space="preserve">billion. Upon the close of the acquisition, Clearlake’s team will consist of more than 230  professionals with offices in Santa Monica, Dallas, Dublin, London, </w:t>
      </w:r>
      <w:r w:rsidRPr="004652E5">
        <w:rPr>
          <w:rFonts w:ascii="Calibri" w:hAnsi="Calibri" w:cs="Calibri"/>
          <w:sz w:val="22"/>
          <w:szCs w:val="22"/>
          <w:lang w:val="it-IT"/>
        </w:rPr>
        <w:t xml:space="preserve">Singapore, </w:t>
      </w:r>
      <w:r w:rsidRPr="004652E5">
        <w:rPr>
          <w:rFonts w:ascii="Calibri" w:hAnsi="Calibri" w:cs="Calibri"/>
          <w:sz w:val="22"/>
          <w:szCs w:val="22"/>
        </w:rPr>
        <w:t xml:space="preserve">Abu Dhabi, Paris and </w:t>
      </w:r>
      <w:r w:rsidRPr="004652E5">
        <w:rPr>
          <w:rFonts w:ascii="Calibri" w:hAnsi="Calibri" w:cs="Calibri"/>
          <w:sz w:val="22"/>
          <w:szCs w:val="22"/>
          <w:lang w:val="en-GB"/>
        </w:rPr>
        <w:t>Luxembourg</w:t>
      </w:r>
      <w:r w:rsidRPr="004652E5">
        <w:rPr>
          <w:rFonts w:ascii="Calibri" w:hAnsi="Calibri" w:cs="Calibri"/>
          <w:sz w:val="22"/>
          <w:szCs w:val="22"/>
        </w:rPr>
        <w:t>.</w:t>
      </w:r>
    </w:p>
    <w:p w14:paraId="67869E39" w14:textId="5B39CF5C" w:rsidR="00BB4B8F" w:rsidRPr="004652E5" w:rsidRDefault="00D90363" w:rsidP="00727302">
      <w:pPr>
        <w:pStyle w:val="Body"/>
        <w:spacing w:before="240" w:line="276" w:lineRule="auto"/>
        <w:jc w:val="both"/>
        <w:rPr>
          <w:rFonts w:ascii="Calibri" w:eastAsia="Calibri" w:hAnsi="Calibri" w:cs="Calibri"/>
          <w:sz w:val="22"/>
          <w:szCs w:val="22"/>
        </w:rPr>
      </w:pPr>
      <w:r w:rsidRPr="004652E5">
        <w:rPr>
          <w:rFonts w:ascii="Calibri" w:hAnsi="Calibri" w:cs="Calibri"/>
          <w:sz w:val="22"/>
          <w:szCs w:val="22"/>
        </w:rPr>
        <w:t>“Credit has been in Clearlake’s DNA since our inception and is core to our firm strategy. MV Credit’s exceptional track record and deep expertise in private credit align perfectly with our existing credit business and strengthen our continuing presence in Europe,” said José E. Feliciano, Co-Founder and Managing Partner at Clearlake. “Clearlake has deployed over $</w:t>
      </w:r>
      <w:r w:rsidR="0037229D">
        <w:rPr>
          <w:rFonts w:ascii="Calibri" w:hAnsi="Calibri" w:cs="Calibri"/>
          <w:sz w:val="22"/>
          <w:szCs w:val="22"/>
        </w:rPr>
        <w:t>40</w:t>
      </w:r>
      <w:r w:rsidRPr="004652E5">
        <w:rPr>
          <w:rFonts w:ascii="Calibri" w:hAnsi="Calibri" w:cs="Calibri"/>
          <w:sz w:val="22"/>
          <w:szCs w:val="22"/>
        </w:rPr>
        <w:t xml:space="preserve"> billion in debt and preferred equity investments since 2006, and </w:t>
      </w:r>
      <w:r w:rsidR="002C029D" w:rsidRPr="004652E5">
        <w:rPr>
          <w:rFonts w:ascii="Calibri" w:hAnsi="Calibri" w:cs="Calibri"/>
          <w:sz w:val="22"/>
          <w:szCs w:val="22"/>
        </w:rPr>
        <w:t xml:space="preserve">with </w:t>
      </w:r>
      <w:r w:rsidRPr="004652E5">
        <w:rPr>
          <w:rFonts w:ascii="Calibri" w:hAnsi="Calibri" w:cs="Calibri"/>
          <w:sz w:val="22"/>
          <w:szCs w:val="22"/>
        </w:rPr>
        <w:t>MV Credit’s expertise</w:t>
      </w:r>
      <w:r w:rsidR="002C029D" w:rsidRPr="004652E5">
        <w:rPr>
          <w:rFonts w:ascii="Calibri" w:hAnsi="Calibri" w:cs="Calibri"/>
          <w:sz w:val="22"/>
          <w:szCs w:val="22"/>
        </w:rPr>
        <w:t xml:space="preserve"> </w:t>
      </w:r>
      <w:r w:rsidRPr="004652E5">
        <w:rPr>
          <w:rFonts w:ascii="Calibri" w:hAnsi="Calibri" w:cs="Calibri"/>
          <w:sz w:val="22"/>
          <w:szCs w:val="22"/>
        </w:rPr>
        <w:t>we will broaden our global direct lending capabilities to better serve</w:t>
      </w:r>
      <w:r w:rsidR="00360EB6" w:rsidRPr="004652E5">
        <w:rPr>
          <w:rFonts w:ascii="Calibri" w:hAnsi="Calibri" w:cs="Calibri"/>
          <w:sz w:val="22"/>
          <w:szCs w:val="22"/>
        </w:rPr>
        <w:t xml:space="preserve"> sponsors and other clients</w:t>
      </w:r>
      <w:r w:rsidRPr="004652E5">
        <w:rPr>
          <w:rFonts w:ascii="Calibri" w:hAnsi="Calibri" w:cs="Calibri"/>
          <w:sz w:val="22"/>
          <w:szCs w:val="22"/>
        </w:rPr>
        <w:t xml:space="preserve"> while</w:t>
      </w:r>
      <w:r w:rsidR="00360EB6" w:rsidRPr="004652E5">
        <w:rPr>
          <w:rFonts w:ascii="Calibri" w:hAnsi="Calibri" w:cs="Calibri"/>
          <w:sz w:val="22"/>
          <w:szCs w:val="22"/>
        </w:rPr>
        <w:t xml:space="preserve"> expanding product offerings for </w:t>
      </w:r>
      <w:r w:rsidRPr="004652E5">
        <w:rPr>
          <w:rFonts w:ascii="Calibri" w:hAnsi="Calibri" w:cs="Calibri"/>
          <w:sz w:val="22"/>
          <w:szCs w:val="22"/>
        </w:rPr>
        <w:t>our investors.”</w:t>
      </w:r>
    </w:p>
    <w:p w14:paraId="3270ED8A" w14:textId="53D4D67C" w:rsidR="00BB4B8F" w:rsidRPr="004652E5" w:rsidRDefault="00D90363" w:rsidP="00727302">
      <w:pPr>
        <w:pStyle w:val="Body"/>
        <w:spacing w:before="240" w:line="276" w:lineRule="auto"/>
        <w:jc w:val="both"/>
        <w:rPr>
          <w:rFonts w:ascii="Calibri" w:eastAsia="Calibri" w:hAnsi="Calibri" w:cs="Calibri"/>
          <w:sz w:val="22"/>
          <w:szCs w:val="22"/>
        </w:rPr>
      </w:pPr>
      <w:r w:rsidRPr="004652E5">
        <w:rPr>
          <w:rFonts w:ascii="Calibri" w:hAnsi="Calibri" w:cs="Calibri"/>
          <w:sz w:val="22"/>
          <w:szCs w:val="22"/>
        </w:rPr>
        <w:t xml:space="preserve">“With this </w:t>
      </w:r>
      <w:r w:rsidR="002C79D4" w:rsidRPr="004652E5">
        <w:rPr>
          <w:rFonts w:ascii="Calibri" w:hAnsi="Calibri" w:cs="Calibri"/>
          <w:sz w:val="22"/>
          <w:szCs w:val="22"/>
        </w:rPr>
        <w:t>acquisition</w:t>
      </w:r>
      <w:r w:rsidRPr="004652E5">
        <w:rPr>
          <w:rFonts w:ascii="Calibri" w:hAnsi="Calibri" w:cs="Calibri"/>
          <w:sz w:val="22"/>
          <w:szCs w:val="22"/>
        </w:rPr>
        <w:t>, Clearlake’s credit business will attain significant scale</w:t>
      </w:r>
      <w:r w:rsidR="002C79D4" w:rsidRPr="004652E5">
        <w:rPr>
          <w:rFonts w:ascii="Calibri" w:hAnsi="Calibri" w:cs="Calibri"/>
          <w:sz w:val="22"/>
          <w:szCs w:val="22"/>
        </w:rPr>
        <w:t xml:space="preserve">, </w:t>
      </w:r>
      <w:r w:rsidRPr="004652E5">
        <w:rPr>
          <w:rFonts w:ascii="Calibri" w:hAnsi="Calibri" w:cs="Calibri"/>
          <w:sz w:val="22"/>
          <w:szCs w:val="22"/>
        </w:rPr>
        <w:t>with</w:t>
      </w:r>
      <w:r w:rsidR="002C79D4" w:rsidRPr="004652E5">
        <w:rPr>
          <w:rFonts w:ascii="Calibri" w:hAnsi="Calibri" w:cs="Calibri"/>
          <w:sz w:val="22"/>
          <w:szCs w:val="22"/>
        </w:rPr>
        <w:t xml:space="preserve"> credit </w:t>
      </w:r>
      <w:r w:rsidRPr="004652E5">
        <w:rPr>
          <w:rFonts w:ascii="Calibri" w:hAnsi="Calibri" w:cs="Calibri"/>
          <w:sz w:val="22"/>
          <w:szCs w:val="22"/>
        </w:rPr>
        <w:t xml:space="preserve">AUM </w:t>
      </w:r>
      <w:r w:rsidR="002C79D4" w:rsidRPr="004652E5">
        <w:rPr>
          <w:rFonts w:ascii="Calibri" w:hAnsi="Calibri" w:cs="Calibri"/>
          <w:sz w:val="22"/>
          <w:szCs w:val="22"/>
        </w:rPr>
        <w:t xml:space="preserve">growing </w:t>
      </w:r>
      <w:r w:rsidRPr="004652E5">
        <w:rPr>
          <w:rFonts w:ascii="Calibri" w:hAnsi="Calibri" w:cs="Calibri"/>
          <w:sz w:val="22"/>
          <w:szCs w:val="22"/>
        </w:rPr>
        <w:t xml:space="preserve">from ~$6 billion in 2020 to </w:t>
      </w:r>
      <w:r w:rsidR="002C79D4" w:rsidRPr="004652E5">
        <w:rPr>
          <w:rFonts w:ascii="Calibri" w:hAnsi="Calibri" w:cs="Calibri"/>
          <w:sz w:val="22"/>
          <w:szCs w:val="22"/>
        </w:rPr>
        <w:t>over</w:t>
      </w:r>
      <w:r w:rsidRPr="004652E5">
        <w:rPr>
          <w:rFonts w:ascii="Calibri" w:hAnsi="Calibri" w:cs="Calibri"/>
          <w:sz w:val="22"/>
          <w:szCs w:val="22"/>
        </w:rPr>
        <w:t xml:space="preserve"> $</w:t>
      </w:r>
      <w:r w:rsidR="0037229D">
        <w:rPr>
          <w:rFonts w:ascii="Calibri" w:hAnsi="Calibri" w:cs="Calibri"/>
          <w:sz w:val="22"/>
          <w:szCs w:val="22"/>
        </w:rPr>
        <w:t>28</w:t>
      </w:r>
      <w:r w:rsidRPr="004652E5">
        <w:rPr>
          <w:rFonts w:ascii="Calibri" w:hAnsi="Calibri" w:cs="Calibri"/>
          <w:sz w:val="22"/>
          <w:szCs w:val="22"/>
        </w:rPr>
        <w:t xml:space="preserve"> billion</w:t>
      </w:r>
      <w:r w:rsidR="002C79D4" w:rsidRPr="004652E5">
        <w:rPr>
          <w:rFonts w:ascii="Calibri" w:hAnsi="Calibri" w:cs="Calibri"/>
          <w:sz w:val="22"/>
          <w:szCs w:val="22"/>
        </w:rPr>
        <w:t xml:space="preserve"> today</w:t>
      </w:r>
      <w:r w:rsidRPr="004652E5">
        <w:rPr>
          <w:rFonts w:ascii="Calibri" w:hAnsi="Calibri" w:cs="Calibri"/>
          <w:sz w:val="22"/>
          <w:szCs w:val="22"/>
        </w:rPr>
        <w:t xml:space="preserve">,” said Behdad Eghbali, Co-Founder and Managing Partner </w:t>
      </w:r>
      <w:r w:rsidRPr="004652E5">
        <w:rPr>
          <w:rFonts w:ascii="Calibri" w:hAnsi="Calibri" w:cs="Calibri"/>
          <w:sz w:val="22"/>
          <w:szCs w:val="22"/>
        </w:rPr>
        <w:lastRenderedPageBreak/>
        <w:t xml:space="preserve">at Clearlake. “We have been very deliberate in how we’ve </w:t>
      </w:r>
      <w:r w:rsidR="008E5F0A" w:rsidRPr="004652E5">
        <w:rPr>
          <w:rFonts w:ascii="Calibri" w:hAnsi="Calibri" w:cs="Calibri"/>
          <w:sz w:val="22"/>
          <w:szCs w:val="22"/>
        </w:rPr>
        <w:t>built</w:t>
      </w:r>
      <w:r w:rsidRPr="004652E5">
        <w:rPr>
          <w:rFonts w:ascii="Calibri" w:hAnsi="Calibri" w:cs="Calibri"/>
          <w:sz w:val="22"/>
          <w:szCs w:val="22"/>
        </w:rPr>
        <w:t xml:space="preserve"> our credit business, and the addition of MV Credit, with highly complementary direct lending capabilities, provides us with new opportunities for strategic growth.” </w:t>
      </w:r>
    </w:p>
    <w:p w14:paraId="3AD41BBC" w14:textId="5654223A" w:rsidR="00BB4B8F" w:rsidRPr="004652E5" w:rsidRDefault="00D90363" w:rsidP="00727302">
      <w:pPr>
        <w:pStyle w:val="Body"/>
        <w:spacing w:before="240" w:line="276" w:lineRule="auto"/>
        <w:jc w:val="both"/>
        <w:rPr>
          <w:rFonts w:ascii="Calibri" w:eastAsia="Calibri" w:hAnsi="Calibri" w:cs="Calibri"/>
          <w:sz w:val="22"/>
          <w:szCs w:val="22"/>
        </w:rPr>
      </w:pPr>
      <w:r w:rsidRPr="004652E5">
        <w:rPr>
          <w:rFonts w:ascii="Calibri" w:hAnsi="Calibri" w:cs="Calibri"/>
          <w:sz w:val="22"/>
          <w:szCs w:val="22"/>
        </w:rPr>
        <w:t>“Clearlake and MV Credit share a similar credit investment philosophy and culture, and we believe the combination will be a winning proposition for the market,” said Frédéric Nadal, Chief Executive Officer of MV Credit. “The demand for private credit keeps growing, and the partnership with Clearlake allows us to further address client needs around the world. Our firms share a culture of teamwork, integrity and commitment to excellence. We look forward to being part of the Clearlake family.”</w:t>
      </w:r>
    </w:p>
    <w:p w14:paraId="7ED0E050" w14:textId="37711293" w:rsidR="00BB4B8F" w:rsidRPr="004652E5" w:rsidRDefault="00D90363" w:rsidP="00727302">
      <w:pPr>
        <w:pStyle w:val="Body"/>
        <w:spacing w:before="240" w:line="276" w:lineRule="auto"/>
        <w:jc w:val="both"/>
        <w:rPr>
          <w:rFonts w:ascii="Calibri" w:eastAsia="Calibri" w:hAnsi="Calibri" w:cs="Calibri"/>
          <w:sz w:val="22"/>
          <w:szCs w:val="22"/>
        </w:rPr>
      </w:pPr>
      <w:r w:rsidRPr="004652E5">
        <w:rPr>
          <w:rFonts w:ascii="Calibri" w:hAnsi="Calibri" w:cs="Calibri"/>
          <w:sz w:val="22"/>
          <w:szCs w:val="22"/>
        </w:rPr>
        <w:t xml:space="preserve">Kirkland &amp; Ellis LLP </w:t>
      </w:r>
      <w:r w:rsidR="007741E3" w:rsidRPr="004652E5">
        <w:rPr>
          <w:rFonts w:ascii="Calibri" w:hAnsi="Calibri" w:cs="Calibri"/>
          <w:sz w:val="22"/>
          <w:szCs w:val="22"/>
        </w:rPr>
        <w:t xml:space="preserve">and Milbank </w:t>
      </w:r>
      <w:r w:rsidR="00297C6D" w:rsidRPr="004652E5">
        <w:rPr>
          <w:rFonts w:ascii="Calibri" w:hAnsi="Calibri" w:cs="Calibri"/>
          <w:sz w:val="22"/>
          <w:szCs w:val="22"/>
        </w:rPr>
        <w:t xml:space="preserve">LLP </w:t>
      </w:r>
      <w:r w:rsidR="007741E3" w:rsidRPr="004652E5">
        <w:rPr>
          <w:rFonts w:ascii="Calibri" w:hAnsi="Calibri" w:cs="Calibri"/>
          <w:sz w:val="22"/>
          <w:szCs w:val="22"/>
        </w:rPr>
        <w:t>are</w:t>
      </w:r>
      <w:r w:rsidRPr="004652E5">
        <w:rPr>
          <w:rFonts w:ascii="Calibri" w:hAnsi="Calibri" w:cs="Calibri"/>
          <w:sz w:val="22"/>
          <w:szCs w:val="22"/>
        </w:rPr>
        <w:t xml:space="preserve"> serving as legal advisor</w:t>
      </w:r>
      <w:r w:rsidR="007741E3" w:rsidRPr="004652E5">
        <w:rPr>
          <w:rFonts w:ascii="Calibri" w:hAnsi="Calibri" w:cs="Calibri"/>
          <w:sz w:val="22"/>
          <w:szCs w:val="22"/>
        </w:rPr>
        <w:t>s</w:t>
      </w:r>
      <w:r w:rsidRPr="004652E5">
        <w:rPr>
          <w:rFonts w:ascii="Calibri" w:hAnsi="Calibri" w:cs="Calibri"/>
          <w:sz w:val="22"/>
          <w:szCs w:val="22"/>
        </w:rPr>
        <w:t xml:space="preserve"> to Clearlake, while Fenchurch Advisory is acting as financial advisor and Dentons is acting as legal advisor to Natixis </w:t>
      </w:r>
      <w:r w:rsidR="00F73F0C" w:rsidRPr="004652E5">
        <w:rPr>
          <w:rFonts w:ascii="Calibri" w:hAnsi="Calibri" w:cs="Calibri"/>
          <w:sz w:val="22"/>
          <w:szCs w:val="22"/>
        </w:rPr>
        <w:t xml:space="preserve">IM </w:t>
      </w:r>
      <w:r w:rsidRPr="004652E5">
        <w:rPr>
          <w:rFonts w:ascii="Calibri" w:hAnsi="Calibri" w:cs="Calibri"/>
          <w:sz w:val="22"/>
          <w:szCs w:val="22"/>
        </w:rPr>
        <w:t>on the transaction.</w:t>
      </w:r>
      <w:r w:rsidR="00297C6D" w:rsidRPr="004652E5">
        <w:rPr>
          <w:rFonts w:ascii="Calibri" w:hAnsi="Calibri" w:cs="Calibri"/>
          <w:sz w:val="22"/>
          <w:szCs w:val="22"/>
        </w:rPr>
        <w:t xml:space="preserve"> DLA Piper LLP is serving as legal advisor to </w:t>
      </w:r>
      <w:r w:rsidR="00F73F0C" w:rsidRPr="004652E5">
        <w:rPr>
          <w:rFonts w:ascii="Calibri" w:hAnsi="Calibri" w:cs="Calibri"/>
          <w:sz w:val="22"/>
          <w:szCs w:val="22"/>
        </w:rPr>
        <w:t xml:space="preserve">the </w:t>
      </w:r>
      <w:r w:rsidR="00297C6D" w:rsidRPr="004652E5">
        <w:rPr>
          <w:rFonts w:ascii="Calibri" w:hAnsi="Calibri" w:cs="Calibri"/>
          <w:sz w:val="22"/>
          <w:szCs w:val="22"/>
        </w:rPr>
        <w:t xml:space="preserve">MV Credit </w:t>
      </w:r>
      <w:r w:rsidR="00F73F0C" w:rsidRPr="004652E5">
        <w:rPr>
          <w:rFonts w:ascii="Calibri" w:hAnsi="Calibri" w:cs="Calibri"/>
          <w:sz w:val="22"/>
          <w:szCs w:val="22"/>
        </w:rPr>
        <w:t>Partners</w:t>
      </w:r>
      <w:r w:rsidR="00297C6D" w:rsidRPr="004652E5">
        <w:rPr>
          <w:rFonts w:ascii="Calibri" w:hAnsi="Calibri" w:cs="Calibri"/>
          <w:sz w:val="22"/>
          <w:szCs w:val="22"/>
        </w:rPr>
        <w:t xml:space="preserve">. </w:t>
      </w:r>
    </w:p>
    <w:p w14:paraId="27454B4F" w14:textId="77777777" w:rsidR="006F52B2" w:rsidRPr="004652E5" w:rsidRDefault="00D90363" w:rsidP="00727302">
      <w:pPr>
        <w:pStyle w:val="Body"/>
        <w:spacing w:before="240" w:line="276" w:lineRule="auto"/>
        <w:jc w:val="both"/>
        <w:rPr>
          <w:rFonts w:ascii="Calibri" w:hAnsi="Calibri" w:cs="Calibri"/>
          <w:b/>
          <w:bCs/>
          <w:sz w:val="22"/>
          <w:szCs w:val="22"/>
        </w:rPr>
      </w:pPr>
      <w:r w:rsidRPr="004652E5">
        <w:rPr>
          <w:rFonts w:ascii="Calibri" w:hAnsi="Calibri" w:cs="Calibri"/>
          <w:b/>
          <w:bCs/>
          <w:sz w:val="22"/>
          <w:szCs w:val="22"/>
        </w:rPr>
        <w:t>About Clearlake</w:t>
      </w:r>
    </w:p>
    <w:p w14:paraId="2E3A5613" w14:textId="3FF07C27" w:rsidR="00BB4B8F" w:rsidRPr="004652E5" w:rsidRDefault="00D90363" w:rsidP="00727302">
      <w:pPr>
        <w:pStyle w:val="Body"/>
        <w:spacing w:before="240" w:line="276" w:lineRule="auto"/>
        <w:jc w:val="both"/>
        <w:rPr>
          <w:rFonts w:ascii="Calibri" w:eastAsia="Calibri" w:hAnsi="Calibri" w:cs="Calibri"/>
          <w:sz w:val="22"/>
          <w:szCs w:val="22"/>
        </w:rPr>
      </w:pPr>
      <w:r w:rsidRPr="004652E5">
        <w:rPr>
          <w:rFonts w:ascii="Calibri" w:hAnsi="Calibri" w:cs="Calibri"/>
          <w:sz w:val="22"/>
          <w:szCs w:val="22"/>
        </w:rPr>
        <w:t xml:space="preserve">Clearlake Capital Group, L.P. is an investment firm founded in 2006 operating integrated businesses across private equity, credit and other related strategies. With a sector-focused approach, the firm seeks to partner with experienced management teams by providing patient, long-term capital to dynamic businesses that can benefit from Clearlake’s operational improvement approach, </w:t>
      </w:r>
      <w:r w:rsidRPr="004652E5">
        <w:rPr>
          <w:rFonts w:ascii="Calibri" w:hAnsi="Calibri" w:cs="Calibri"/>
          <w:i/>
          <w:iCs/>
          <w:sz w:val="22"/>
          <w:szCs w:val="22"/>
        </w:rPr>
        <w:t>O.P.S.®</w:t>
      </w:r>
      <w:r w:rsidRPr="004652E5">
        <w:rPr>
          <w:rFonts w:ascii="Calibri" w:hAnsi="Calibri" w:cs="Calibri"/>
          <w:sz w:val="22"/>
          <w:szCs w:val="22"/>
        </w:rPr>
        <w:t xml:space="preserve"> The firm’s core target sectors are industrials, technology and consumer. Clearlake currently has over $</w:t>
      </w:r>
      <w:r w:rsidR="002B5202" w:rsidRPr="004652E5">
        <w:rPr>
          <w:rFonts w:ascii="Calibri" w:hAnsi="Calibri" w:cs="Calibri"/>
          <w:sz w:val="22"/>
          <w:szCs w:val="22"/>
        </w:rPr>
        <w:t>85</w:t>
      </w:r>
      <w:r w:rsidRPr="004652E5">
        <w:rPr>
          <w:rFonts w:ascii="Calibri" w:hAnsi="Calibri" w:cs="Calibri"/>
          <w:sz w:val="22"/>
          <w:szCs w:val="22"/>
        </w:rPr>
        <w:t xml:space="preserve"> billion of assets under management and its senior investment principals have led or co-led over 400 investments. The firm is headquartered in Santa Monica, CA with affiliates in Dallas, TX, London, UK, Dublin, Ireland Singapore and Abu Dhabi, UAE. More information is available at </w:t>
      </w:r>
      <w:hyperlink r:id="rId8" w:history="1">
        <w:r w:rsidRPr="004652E5">
          <w:rPr>
            <w:rStyle w:val="Hyperlink0"/>
          </w:rPr>
          <w:t>www.clearlake.com</w:t>
        </w:r>
      </w:hyperlink>
      <w:r w:rsidRPr="004652E5">
        <w:rPr>
          <w:rFonts w:ascii="Calibri" w:hAnsi="Calibri" w:cs="Calibri"/>
          <w:sz w:val="22"/>
          <w:szCs w:val="22"/>
        </w:rPr>
        <w:t>.</w:t>
      </w:r>
    </w:p>
    <w:p w14:paraId="42D406BE" w14:textId="77777777" w:rsidR="00FC2A5A" w:rsidRPr="004652E5" w:rsidRDefault="00D90363" w:rsidP="00727302">
      <w:pPr>
        <w:pStyle w:val="Body"/>
        <w:spacing w:before="240" w:after="0" w:line="276" w:lineRule="auto"/>
        <w:jc w:val="both"/>
        <w:rPr>
          <w:rFonts w:ascii="Calibri" w:hAnsi="Calibri" w:cs="Calibri"/>
          <w:b/>
          <w:bCs/>
          <w:sz w:val="22"/>
          <w:szCs w:val="22"/>
        </w:rPr>
      </w:pPr>
      <w:r w:rsidRPr="004652E5">
        <w:rPr>
          <w:rFonts w:ascii="Calibri" w:hAnsi="Calibri" w:cs="Calibri"/>
          <w:b/>
          <w:bCs/>
          <w:sz w:val="22"/>
          <w:szCs w:val="22"/>
        </w:rPr>
        <w:t>About MV Credit</w:t>
      </w:r>
    </w:p>
    <w:p w14:paraId="12259B4E" w14:textId="0426F3FD" w:rsidR="007C41E9" w:rsidRPr="004652E5" w:rsidRDefault="00D90363" w:rsidP="00727302">
      <w:pPr>
        <w:pStyle w:val="Body"/>
        <w:spacing w:before="240" w:after="0" w:line="276" w:lineRule="auto"/>
        <w:jc w:val="both"/>
        <w:rPr>
          <w:rFonts w:ascii="Calibri" w:hAnsi="Calibri" w:cs="Calibri"/>
          <w:b/>
          <w:bCs/>
          <w:sz w:val="22"/>
          <w:szCs w:val="22"/>
        </w:rPr>
      </w:pPr>
      <w:r w:rsidRPr="004652E5">
        <w:rPr>
          <w:rFonts w:ascii="Calibri" w:hAnsi="Calibri" w:cs="Calibri"/>
          <w:sz w:val="22"/>
          <w:szCs w:val="22"/>
        </w:rPr>
        <w:t>MV Credit is an independently managed private credit firm founded in 2000. One of the first private credit firms to be established in Europe, MV Credit possesses the longest established management team in the private credit space, with a senior team who has on average over twenty years’ experience. Since inception MV Credit has invested circa €</w:t>
      </w:r>
      <w:r w:rsidR="00626472" w:rsidRPr="004652E5">
        <w:rPr>
          <w:rFonts w:ascii="Calibri" w:hAnsi="Calibri" w:cs="Calibri"/>
          <w:sz w:val="22"/>
          <w:szCs w:val="22"/>
        </w:rPr>
        <w:t>10.</w:t>
      </w:r>
      <w:r w:rsidR="00AF127F" w:rsidRPr="004652E5">
        <w:rPr>
          <w:rFonts w:ascii="Calibri" w:hAnsi="Calibri" w:cs="Calibri"/>
          <w:sz w:val="22"/>
          <w:szCs w:val="22"/>
        </w:rPr>
        <w:t>3</w:t>
      </w:r>
      <w:r w:rsidRPr="004652E5">
        <w:rPr>
          <w:rFonts w:ascii="Calibri" w:hAnsi="Calibri" w:cs="Calibri"/>
          <w:sz w:val="22"/>
          <w:szCs w:val="22"/>
        </w:rPr>
        <w:t xml:space="preserve">bn in </w:t>
      </w:r>
      <w:r w:rsidR="000D0C7A" w:rsidRPr="004652E5">
        <w:rPr>
          <w:rFonts w:ascii="Calibri" w:hAnsi="Calibri" w:cs="Calibri"/>
          <w:sz w:val="22"/>
          <w:szCs w:val="22"/>
        </w:rPr>
        <w:t>about</w:t>
      </w:r>
      <w:r w:rsidRPr="004652E5">
        <w:rPr>
          <w:rFonts w:ascii="Calibri" w:hAnsi="Calibri" w:cs="Calibri"/>
          <w:sz w:val="22"/>
          <w:szCs w:val="22"/>
        </w:rPr>
        <w:t xml:space="preserve"> </w:t>
      </w:r>
      <w:r w:rsidR="00AF127F" w:rsidRPr="004652E5">
        <w:rPr>
          <w:rFonts w:ascii="Calibri" w:hAnsi="Calibri" w:cs="Calibri"/>
          <w:sz w:val="22"/>
          <w:szCs w:val="22"/>
        </w:rPr>
        <w:t>5</w:t>
      </w:r>
      <w:r w:rsidRPr="004652E5">
        <w:rPr>
          <w:rFonts w:ascii="Calibri" w:hAnsi="Calibri" w:cs="Calibri"/>
          <w:sz w:val="22"/>
          <w:szCs w:val="22"/>
        </w:rPr>
        <w:t xml:space="preserve">00 bespoke </w:t>
      </w:r>
      <w:r w:rsidR="00A124C9" w:rsidRPr="004652E5">
        <w:rPr>
          <w:rFonts w:ascii="Calibri" w:hAnsi="Calibri" w:cs="Calibri"/>
          <w:sz w:val="22"/>
          <w:szCs w:val="22"/>
        </w:rPr>
        <w:t xml:space="preserve">direct lending </w:t>
      </w:r>
      <w:r w:rsidRPr="004652E5">
        <w:rPr>
          <w:rFonts w:ascii="Calibri" w:hAnsi="Calibri" w:cs="Calibri"/>
          <w:sz w:val="22"/>
          <w:szCs w:val="22"/>
        </w:rPr>
        <w:t xml:space="preserve">deals, building over time strong long-term relationships with top-tier sponsors. MV Credit invests in senior and subordinated debt across Europe, targeting non-cyclical, defensive industries and regions where we have a strong understanding. The firm’s deep experience enables us to add value by providing tailored financing solutions to high-quality businesses, alongside adding value through active engagement. </w:t>
      </w:r>
      <w:r w:rsidRPr="004652E5">
        <w:rPr>
          <w:rFonts w:ascii="Calibri" w:hAnsi="Calibri" w:cs="Calibri"/>
          <w:sz w:val="22"/>
          <w:szCs w:val="22"/>
          <w:shd w:val="clear" w:color="auto" w:fill="FFFFFF"/>
        </w:rPr>
        <w:t xml:space="preserve">For more information, please visit </w:t>
      </w:r>
      <w:hyperlink r:id="rId9" w:history="1">
        <w:r w:rsidRPr="004652E5">
          <w:rPr>
            <w:rStyle w:val="Hyperlink1"/>
          </w:rPr>
          <w:t>www.mvcredit.com</w:t>
        </w:r>
      </w:hyperlink>
      <w:r w:rsidRPr="004652E5">
        <w:rPr>
          <w:rFonts w:ascii="Calibri" w:hAnsi="Calibri" w:cs="Calibri"/>
          <w:sz w:val="22"/>
          <w:szCs w:val="22"/>
          <w:shd w:val="clear" w:color="auto" w:fill="FFFFFF"/>
        </w:rPr>
        <w:t>.</w:t>
      </w:r>
    </w:p>
    <w:p w14:paraId="3B4C6AC4" w14:textId="77777777" w:rsidR="007C41E9" w:rsidRPr="004652E5" w:rsidRDefault="007C41E9" w:rsidP="00727302">
      <w:pPr>
        <w:pStyle w:val="Default"/>
        <w:spacing w:before="240" w:line="276" w:lineRule="auto"/>
        <w:jc w:val="both"/>
        <w:rPr>
          <w:rFonts w:ascii="Calibri" w:hAnsi="Calibri" w:cs="Calibri"/>
          <w:b/>
          <w:bCs/>
          <w:sz w:val="22"/>
          <w:szCs w:val="22"/>
        </w:rPr>
      </w:pPr>
      <w:r w:rsidRPr="004652E5">
        <w:rPr>
          <w:rFonts w:ascii="Calibri" w:hAnsi="Calibri" w:cs="Calibri"/>
          <w:b/>
          <w:bCs/>
          <w:sz w:val="22"/>
          <w:szCs w:val="22"/>
        </w:rPr>
        <w:t xml:space="preserve">About Natixis Investment Managers </w:t>
      </w:r>
    </w:p>
    <w:p w14:paraId="6071E755" w14:textId="5B6E3F59" w:rsidR="006F52B2" w:rsidRPr="004652E5" w:rsidRDefault="006F52B2" w:rsidP="00727302">
      <w:pPr>
        <w:pStyle w:val="Default"/>
        <w:spacing w:before="240" w:line="276" w:lineRule="auto"/>
        <w:jc w:val="both"/>
        <w:rPr>
          <w:rFonts w:ascii="Calibri" w:hAnsi="Calibri" w:cs="Calibri"/>
          <w:sz w:val="22"/>
          <w:szCs w:val="22"/>
          <w:vertAlign w:val="superscript"/>
        </w:rPr>
      </w:pPr>
      <w:r w:rsidRPr="004652E5">
        <w:rPr>
          <w:rFonts w:ascii="Calibri" w:hAnsi="Calibri" w:cs="Calibri"/>
          <w:sz w:val="22"/>
          <w:szCs w:val="22"/>
        </w:rPr>
        <w:t xml:space="preserve">Natixis Investment Managers’ multi-affiliate approach connects clients to the independent thinking and focused expertise of more than 15 active managers. Ranked among the world’s largest asset </w:t>
      </w:r>
      <w:bookmarkStart w:id="0" w:name="_Hlk175851395"/>
      <w:r w:rsidRPr="004652E5">
        <w:rPr>
          <w:rFonts w:ascii="Calibri" w:hAnsi="Calibri" w:cs="Calibri"/>
          <w:sz w:val="22"/>
          <w:szCs w:val="22"/>
        </w:rPr>
        <w:t>managers</w:t>
      </w:r>
      <w:bookmarkEnd w:id="0"/>
      <w:r w:rsidR="00727302" w:rsidRPr="004652E5">
        <w:rPr>
          <w:rFonts w:ascii="Calibri" w:hAnsi="Calibri" w:cs="Calibri"/>
          <w:sz w:val="22"/>
          <w:szCs w:val="22"/>
          <w:vertAlign w:val="superscript"/>
        </w:rPr>
        <w:t xml:space="preserve">1 </w:t>
      </w:r>
      <w:r w:rsidRPr="004652E5">
        <w:rPr>
          <w:rFonts w:ascii="Calibri" w:hAnsi="Calibri" w:cs="Calibri"/>
          <w:sz w:val="22"/>
          <w:szCs w:val="22"/>
        </w:rPr>
        <w:t>with more than $1.3 trillion assets under management</w:t>
      </w:r>
      <w:r w:rsidRPr="004652E5">
        <w:rPr>
          <w:rFonts w:ascii="Calibri" w:hAnsi="Calibri" w:cs="Calibri"/>
          <w:sz w:val="22"/>
          <w:szCs w:val="22"/>
          <w:vertAlign w:val="superscript"/>
        </w:rPr>
        <w:t>2</w:t>
      </w:r>
      <w:r w:rsidRPr="004652E5">
        <w:rPr>
          <w:rFonts w:ascii="Calibri" w:hAnsi="Calibri" w:cs="Calibri"/>
          <w:sz w:val="22"/>
          <w:szCs w:val="22"/>
        </w:rPr>
        <w:t xml:space="preserve"> (€1.2 trillion), Natixis Investment Managers delivers a diverse range of solutions across asset classes, styles, and vehicles, including innovative environmental, social, and governance (ESG) strategies and products dedicated to advancing sustainable </w:t>
      </w:r>
      <w:r w:rsidRPr="004652E5">
        <w:rPr>
          <w:rFonts w:ascii="Calibri" w:hAnsi="Calibri" w:cs="Calibri"/>
          <w:sz w:val="22"/>
          <w:szCs w:val="22"/>
        </w:rPr>
        <w:lastRenderedPageBreak/>
        <w:t xml:space="preserve">finance. The firm partners with clients in order to understand their unique needs and provide insights and investment solutions tailored to their long-term goals. </w:t>
      </w:r>
    </w:p>
    <w:p w14:paraId="0CC494D4" w14:textId="77777777" w:rsidR="006F52B2" w:rsidRPr="004652E5" w:rsidRDefault="006F52B2" w:rsidP="00727302">
      <w:pPr>
        <w:pStyle w:val="Default"/>
        <w:spacing w:before="240" w:line="276" w:lineRule="auto"/>
        <w:jc w:val="both"/>
        <w:rPr>
          <w:rFonts w:ascii="Calibri" w:hAnsi="Calibri" w:cs="Calibri"/>
          <w:b/>
          <w:bCs/>
          <w:sz w:val="22"/>
          <w:szCs w:val="22"/>
        </w:rPr>
      </w:pPr>
      <w:r w:rsidRPr="004652E5">
        <w:rPr>
          <w:rFonts w:ascii="Calibri" w:hAnsi="Calibri" w:cs="Calibri"/>
          <w:sz w:val="22"/>
          <w:szCs w:val="22"/>
        </w:rPr>
        <w:t xml:space="preserve">Headquartered in Paris and Boston, Natixis Investment Managers is part of the Global Financial Services division of Groupe BPCE, the second-largest banking group in France through the Banque Populaire and Caisse d’Epargne retail networks. </w:t>
      </w:r>
    </w:p>
    <w:p w14:paraId="6C8E4089" w14:textId="77777777" w:rsidR="006F52B2" w:rsidRPr="004652E5" w:rsidRDefault="006F52B2" w:rsidP="00727302">
      <w:pPr>
        <w:pStyle w:val="Default"/>
        <w:spacing w:before="240" w:line="276" w:lineRule="auto"/>
        <w:jc w:val="both"/>
        <w:rPr>
          <w:rFonts w:ascii="Calibri" w:hAnsi="Calibri" w:cs="Calibri"/>
          <w:b/>
          <w:bCs/>
          <w:sz w:val="20"/>
          <w:szCs w:val="20"/>
        </w:rPr>
      </w:pPr>
      <w:r w:rsidRPr="004652E5">
        <w:rPr>
          <w:rFonts w:ascii="Calibri" w:hAnsi="Calibri" w:cs="Calibri"/>
          <w:sz w:val="20"/>
          <w:szCs w:val="20"/>
          <w:vertAlign w:val="superscript"/>
        </w:rPr>
        <w:t xml:space="preserve">1 </w:t>
      </w:r>
      <w:r w:rsidRPr="004652E5">
        <w:rPr>
          <w:rFonts w:ascii="Calibri" w:hAnsi="Calibri" w:cs="Calibri"/>
          <w:sz w:val="20"/>
          <w:szCs w:val="20"/>
        </w:rPr>
        <w:t xml:space="preserve">Survey respondents ranked by Investment &amp; Pensions Europe/Top 500 Asset Managers 2024 ranked Natixis Investment Managers as the 19th largest asset manager in the world based on assets under management as of December 31, 2023. </w:t>
      </w:r>
    </w:p>
    <w:p w14:paraId="284EB877" w14:textId="77777777" w:rsidR="006F52B2" w:rsidRPr="004652E5" w:rsidRDefault="006F52B2" w:rsidP="00727302">
      <w:pPr>
        <w:pStyle w:val="Default"/>
        <w:spacing w:before="240" w:line="276" w:lineRule="auto"/>
        <w:jc w:val="both"/>
        <w:rPr>
          <w:rFonts w:ascii="Calibri" w:hAnsi="Calibri" w:cs="Calibri"/>
          <w:b/>
          <w:bCs/>
          <w:sz w:val="20"/>
          <w:szCs w:val="20"/>
        </w:rPr>
      </w:pPr>
      <w:r w:rsidRPr="004652E5">
        <w:rPr>
          <w:rFonts w:ascii="Calibri" w:hAnsi="Calibri" w:cs="Calibri"/>
          <w:sz w:val="20"/>
          <w:szCs w:val="20"/>
          <w:vertAlign w:val="superscript"/>
        </w:rPr>
        <w:t xml:space="preserve">2 </w:t>
      </w:r>
      <w:r w:rsidRPr="004652E5">
        <w:rPr>
          <w:rFonts w:ascii="Calibri" w:hAnsi="Calibri" w:cs="Calibri"/>
          <w:sz w:val="20"/>
          <w:szCs w:val="20"/>
        </w:rPr>
        <w:t xml:space="preserve">Assets under management (“AUM”) of current affiliated entities measured as of June 30, 2024, are $1,320.8 billion (€1,232.3 billion). AUM, as reported, may include notional assets, assets serviced, gross assets, assets of minority-owned affiliated entities and other types of non-regulatory AUM managed or serviced by firms affiliated with Natixis Investment Managers. </w:t>
      </w:r>
    </w:p>
    <w:p w14:paraId="21909E48" w14:textId="77777777" w:rsidR="00727302" w:rsidRPr="004652E5" w:rsidRDefault="00727302" w:rsidP="00D90363">
      <w:pPr>
        <w:jc w:val="center"/>
        <w:rPr>
          <w:rFonts w:ascii="Calibri" w:hAnsi="Calibri" w:cs="Calibri"/>
          <w:sz w:val="22"/>
          <w:szCs w:val="22"/>
        </w:rPr>
      </w:pPr>
    </w:p>
    <w:p w14:paraId="02B5B786" w14:textId="17473388" w:rsidR="00BB4B8F" w:rsidRPr="004652E5" w:rsidRDefault="00D90363" w:rsidP="00D90363">
      <w:pPr>
        <w:jc w:val="center"/>
        <w:rPr>
          <w:rFonts w:ascii="Calibri" w:hAnsi="Calibri" w:cs="Calibri"/>
          <w:sz w:val="22"/>
          <w:szCs w:val="22"/>
        </w:rPr>
      </w:pPr>
      <w:r w:rsidRPr="004652E5">
        <w:rPr>
          <w:rFonts w:ascii="Calibri" w:hAnsi="Calibri" w:cs="Calibri"/>
          <w:sz w:val="22"/>
          <w:szCs w:val="22"/>
        </w:rPr>
        <w:t># # #</w:t>
      </w:r>
    </w:p>
    <w:p w14:paraId="104E4C86" w14:textId="0BF27ACF" w:rsidR="00BB4B8F" w:rsidRPr="004652E5" w:rsidRDefault="00D90363">
      <w:pPr>
        <w:pStyle w:val="Body"/>
        <w:spacing w:after="0"/>
        <w:rPr>
          <w:rFonts w:ascii="Calibri" w:eastAsia="Calibri" w:hAnsi="Calibri" w:cs="Calibri"/>
          <w:sz w:val="22"/>
          <w:szCs w:val="22"/>
        </w:rPr>
      </w:pPr>
      <w:r w:rsidRPr="004652E5">
        <w:rPr>
          <w:rFonts w:ascii="Calibri" w:hAnsi="Calibri" w:cs="Calibri"/>
          <w:b/>
          <w:bCs/>
          <w:sz w:val="22"/>
          <w:szCs w:val="22"/>
        </w:rPr>
        <w:t>For Clearlake:</w:t>
      </w:r>
      <w:r w:rsidRPr="004652E5">
        <w:rPr>
          <w:rFonts w:ascii="Calibri" w:eastAsia="Calibri" w:hAnsi="Calibri" w:cs="Calibri"/>
          <w:sz w:val="22"/>
          <w:szCs w:val="22"/>
        </w:rPr>
        <w:br/>
      </w:r>
      <w:r w:rsidRPr="004652E5">
        <w:rPr>
          <w:rFonts w:ascii="Calibri" w:hAnsi="Calibri" w:cs="Calibri"/>
          <w:sz w:val="22"/>
          <w:szCs w:val="22"/>
        </w:rPr>
        <w:t>Jennifer Hurson</w:t>
      </w:r>
      <w:r w:rsidRPr="004652E5">
        <w:rPr>
          <w:rFonts w:ascii="Calibri" w:eastAsia="Calibri" w:hAnsi="Calibri" w:cs="Calibri"/>
          <w:sz w:val="22"/>
          <w:szCs w:val="22"/>
        </w:rPr>
        <w:br/>
      </w:r>
      <w:r w:rsidRPr="004652E5">
        <w:rPr>
          <w:rFonts w:ascii="Calibri" w:hAnsi="Calibri" w:cs="Calibri"/>
          <w:sz w:val="22"/>
          <w:szCs w:val="22"/>
        </w:rPr>
        <w:t>Lambert</w:t>
      </w:r>
      <w:r w:rsidRPr="004652E5">
        <w:rPr>
          <w:rFonts w:ascii="Calibri" w:eastAsia="Calibri" w:hAnsi="Calibri" w:cs="Calibri"/>
          <w:sz w:val="22"/>
          <w:szCs w:val="22"/>
        </w:rPr>
        <w:br/>
      </w:r>
      <w:r w:rsidRPr="004652E5">
        <w:rPr>
          <w:rFonts w:ascii="Calibri" w:hAnsi="Calibri" w:cs="Calibri"/>
          <w:sz w:val="22"/>
          <w:szCs w:val="22"/>
        </w:rPr>
        <w:t>+1-845-507-0571</w:t>
      </w:r>
      <w:r w:rsidRPr="004652E5">
        <w:rPr>
          <w:rFonts w:ascii="Calibri" w:eastAsia="Calibri" w:hAnsi="Calibri" w:cs="Calibri"/>
          <w:sz w:val="22"/>
          <w:szCs w:val="22"/>
        </w:rPr>
        <w:br/>
      </w:r>
      <w:hyperlink r:id="rId10" w:history="1">
        <w:r w:rsidRPr="004652E5">
          <w:rPr>
            <w:rStyle w:val="Hyperlink0"/>
          </w:rPr>
          <w:t>jhurson@lambert.com</w:t>
        </w:r>
      </w:hyperlink>
    </w:p>
    <w:p w14:paraId="4F174A75" w14:textId="77777777" w:rsidR="00FC2A5A" w:rsidRPr="004652E5" w:rsidRDefault="00FC2A5A">
      <w:pPr>
        <w:pStyle w:val="Body"/>
        <w:spacing w:after="0"/>
        <w:rPr>
          <w:rFonts w:ascii="Calibri" w:eastAsia="Calibri" w:hAnsi="Calibri" w:cs="Calibri"/>
          <w:sz w:val="22"/>
          <w:szCs w:val="22"/>
        </w:rPr>
      </w:pPr>
    </w:p>
    <w:p w14:paraId="26159A9E" w14:textId="3CACDFED" w:rsidR="00BB4B8F" w:rsidRPr="004652E5" w:rsidRDefault="00D90363">
      <w:pPr>
        <w:pStyle w:val="Body"/>
        <w:spacing w:after="0"/>
        <w:rPr>
          <w:rFonts w:ascii="Calibri" w:eastAsia="Calibri" w:hAnsi="Calibri" w:cs="Calibri"/>
          <w:b/>
          <w:bCs/>
          <w:sz w:val="22"/>
          <w:szCs w:val="22"/>
        </w:rPr>
      </w:pPr>
      <w:r w:rsidRPr="004652E5">
        <w:rPr>
          <w:rFonts w:ascii="Calibri" w:hAnsi="Calibri" w:cs="Calibri"/>
          <w:b/>
          <w:bCs/>
          <w:sz w:val="22"/>
          <w:szCs w:val="22"/>
        </w:rPr>
        <w:t>For MV Credit:</w:t>
      </w:r>
    </w:p>
    <w:p w14:paraId="290C634D" w14:textId="6F32DFBC" w:rsidR="006F52B2" w:rsidRPr="004652E5" w:rsidRDefault="006F52B2" w:rsidP="006F52B2">
      <w:pPr>
        <w:pStyle w:val="Body"/>
        <w:spacing w:after="0"/>
        <w:rPr>
          <w:rFonts w:ascii="Calibri" w:eastAsia="Calibri" w:hAnsi="Calibri" w:cs="Calibri"/>
          <w:sz w:val="22"/>
          <w:szCs w:val="22"/>
        </w:rPr>
      </w:pPr>
      <w:r w:rsidRPr="004652E5">
        <w:rPr>
          <w:rFonts w:ascii="Calibri" w:eastAsia="Calibri" w:hAnsi="Calibri" w:cs="Calibri"/>
          <w:sz w:val="22"/>
          <w:szCs w:val="22"/>
        </w:rPr>
        <w:t>Anne-Marie Kesselman Head of Communications &amp; Marketing</w:t>
      </w:r>
    </w:p>
    <w:p w14:paraId="5B4A4F1F" w14:textId="77777777" w:rsidR="006F52B2" w:rsidRDefault="006F52B2" w:rsidP="006F52B2">
      <w:pPr>
        <w:pStyle w:val="Body"/>
        <w:spacing w:after="0"/>
        <w:rPr>
          <w:rFonts w:ascii="Calibri" w:eastAsia="Calibri" w:hAnsi="Calibri" w:cs="Calibri"/>
          <w:sz w:val="22"/>
          <w:szCs w:val="22"/>
        </w:rPr>
      </w:pPr>
      <w:r w:rsidRPr="004652E5">
        <w:rPr>
          <w:rFonts w:ascii="Calibri" w:eastAsia="Calibri" w:hAnsi="Calibri" w:cs="Calibri"/>
          <w:sz w:val="22"/>
          <w:szCs w:val="22"/>
        </w:rPr>
        <w:t>+447787267091</w:t>
      </w:r>
    </w:p>
    <w:p w14:paraId="128993BC" w14:textId="4F3182CD" w:rsidR="007C41E9" w:rsidRPr="00FC2A5A" w:rsidRDefault="007C41E9">
      <w:pPr>
        <w:pStyle w:val="Body"/>
        <w:spacing w:after="0"/>
        <w:rPr>
          <w:sz w:val="22"/>
          <w:szCs w:val="22"/>
        </w:rPr>
      </w:pPr>
    </w:p>
    <w:sectPr w:rsidR="007C41E9" w:rsidRPr="00FC2A5A">
      <w:headerReference w:type="default" r:id="rId11"/>
      <w:footerReference w:type="default" r:id="rId12"/>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1CDE7" w14:textId="77777777" w:rsidR="001A14EC" w:rsidRDefault="001A14EC">
      <w:r>
        <w:separator/>
      </w:r>
    </w:p>
  </w:endnote>
  <w:endnote w:type="continuationSeparator" w:id="0">
    <w:p w14:paraId="38B32D09" w14:textId="77777777" w:rsidR="001A14EC" w:rsidRDefault="001A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1E7A2" w14:textId="77777777" w:rsidR="00BB4B8F" w:rsidRDefault="00BB4B8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A5B03" w14:textId="77777777" w:rsidR="001A14EC" w:rsidRDefault="001A14EC">
      <w:r>
        <w:separator/>
      </w:r>
    </w:p>
  </w:footnote>
  <w:footnote w:type="continuationSeparator" w:id="0">
    <w:p w14:paraId="68F63B4C" w14:textId="77777777" w:rsidR="001A14EC" w:rsidRDefault="001A1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0EE7F" w14:textId="77777777" w:rsidR="00BB4B8F" w:rsidRDefault="00BB4B8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B8F"/>
    <w:rsid w:val="00055BAF"/>
    <w:rsid w:val="000D0C7A"/>
    <w:rsid w:val="0014396D"/>
    <w:rsid w:val="00151769"/>
    <w:rsid w:val="00191445"/>
    <w:rsid w:val="001A14EC"/>
    <w:rsid w:val="001F2F34"/>
    <w:rsid w:val="00227F64"/>
    <w:rsid w:val="00255E21"/>
    <w:rsid w:val="00297C6D"/>
    <w:rsid w:val="002B5202"/>
    <w:rsid w:val="002C029D"/>
    <w:rsid w:val="002C79D4"/>
    <w:rsid w:val="00320359"/>
    <w:rsid w:val="00360EB6"/>
    <w:rsid w:val="0037229D"/>
    <w:rsid w:val="00425AD1"/>
    <w:rsid w:val="004652E5"/>
    <w:rsid w:val="00563D42"/>
    <w:rsid w:val="005B7A01"/>
    <w:rsid w:val="005D01B6"/>
    <w:rsid w:val="005F271D"/>
    <w:rsid w:val="00626472"/>
    <w:rsid w:val="00655660"/>
    <w:rsid w:val="00670EED"/>
    <w:rsid w:val="0067650E"/>
    <w:rsid w:val="006D5D90"/>
    <w:rsid w:val="006F295C"/>
    <w:rsid w:val="006F52B2"/>
    <w:rsid w:val="00727302"/>
    <w:rsid w:val="007741E3"/>
    <w:rsid w:val="00776632"/>
    <w:rsid w:val="007C41E9"/>
    <w:rsid w:val="008108A4"/>
    <w:rsid w:val="00834EA0"/>
    <w:rsid w:val="008766D2"/>
    <w:rsid w:val="00876C2B"/>
    <w:rsid w:val="008D0ABF"/>
    <w:rsid w:val="008E5F0A"/>
    <w:rsid w:val="009F3F48"/>
    <w:rsid w:val="00A124C9"/>
    <w:rsid w:val="00AB5A8F"/>
    <w:rsid w:val="00AD13A9"/>
    <w:rsid w:val="00AE6DDD"/>
    <w:rsid w:val="00AF127F"/>
    <w:rsid w:val="00B4247E"/>
    <w:rsid w:val="00B56620"/>
    <w:rsid w:val="00BB4B8F"/>
    <w:rsid w:val="00BC1D3A"/>
    <w:rsid w:val="00C44C5E"/>
    <w:rsid w:val="00C93CA5"/>
    <w:rsid w:val="00CE7B9F"/>
    <w:rsid w:val="00D047F0"/>
    <w:rsid w:val="00D63BA1"/>
    <w:rsid w:val="00D90363"/>
    <w:rsid w:val="00DC3B8D"/>
    <w:rsid w:val="00DC79AE"/>
    <w:rsid w:val="00E1012F"/>
    <w:rsid w:val="00EA2CE4"/>
    <w:rsid w:val="00EB0829"/>
    <w:rsid w:val="00EC5868"/>
    <w:rsid w:val="00F12DBA"/>
    <w:rsid w:val="00F42E0E"/>
    <w:rsid w:val="00F73F0C"/>
    <w:rsid w:val="00FC2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ABAB7"/>
  <w15:docId w15:val="{741ADA5C-AE6D-46FE-AEFB-D1392032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78" w:lineRule="auto"/>
    </w:pPr>
    <w:rPr>
      <w:rFonts w:ascii="Aptos" w:eastAsia="Aptos" w:hAnsi="Aptos" w:cs="Aptos"/>
      <w:color w:val="000000"/>
      <w:kern w:val="2"/>
      <w:sz w:val="24"/>
      <w:szCs w:val="24"/>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outline w:val="0"/>
      <w:color w:val="0000FF"/>
      <w:sz w:val="22"/>
      <w:szCs w:val="22"/>
      <w:u w:val="single" w:color="0000FF"/>
    </w:rPr>
  </w:style>
  <w:style w:type="character" w:customStyle="1" w:styleId="Hyperlink1">
    <w:name w:val="Hyperlink.1"/>
    <w:basedOn w:val="Link"/>
    <w:rPr>
      <w:rFonts w:ascii="Calibri" w:eastAsia="Calibri" w:hAnsi="Calibri" w:cs="Calibri"/>
      <w:outline w:val="0"/>
      <w:color w:val="0000FF"/>
      <w:sz w:val="22"/>
      <w:szCs w:val="22"/>
      <w:u w:val="single" w:color="0000FF"/>
      <w:shd w:val="clear" w:color="auto" w:fill="FFFFFF"/>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C79D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sid w:val="002C029D"/>
    <w:rPr>
      <w:b/>
      <w:bCs/>
    </w:rPr>
  </w:style>
  <w:style w:type="character" w:customStyle="1" w:styleId="CommentSubjectChar">
    <w:name w:val="Comment Subject Char"/>
    <w:basedOn w:val="CommentTextChar"/>
    <w:link w:val="CommentSubject"/>
    <w:uiPriority w:val="99"/>
    <w:semiHidden/>
    <w:rsid w:val="002C029D"/>
    <w:rPr>
      <w:b/>
      <w:bCs/>
    </w:rPr>
  </w:style>
  <w:style w:type="character" w:styleId="UnresolvedMention">
    <w:name w:val="Unresolved Mention"/>
    <w:basedOn w:val="DefaultParagraphFont"/>
    <w:uiPriority w:val="99"/>
    <w:semiHidden/>
    <w:unhideWhenUsed/>
    <w:rsid w:val="00D90363"/>
    <w:rPr>
      <w:color w:val="605E5C"/>
      <w:shd w:val="clear" w:color="auto" w:fill="E1DFDD"/>
    </w:rPr>
  </w:style>
  <w:style w:type="paragraph" w:styleId="FootnoteText">
    <w:name w:val="footnote text"/>
    <w:basedOn w:val="Normal"/>
    <w:link w:val="FootnoteTextChar"/>
    <w:uiPriority w:val="99"/>
    <w:semiHidden/>
    <w:unhideWhenUsed/>
    <w:rsid w:val="00727302"/>
    <w:rPr>
      <w:sz w:val="20"/>
      <w:szCs w:val="20"/>
    </w:rPr>
  </w:style>
  <w:style w:type="character" w:customStyle="1" w:styleId="FootnoteTextChar">
    <w:name w:val="Footnote Text Char"/>
    <w:basedOn w:val="DefaultParagraphFont"/>
    <w:link w:val="FootnoteText"/>
    <w:uiPriority w:val="99"/>
    <w:semiHidden/>
    <w:rsid w:val="00727302"/>
  </w:style>
  <w:style w:type="character" w:styleId="FootnoteReference">
    <w:name w:val="footnote reference"/>
    <w:basedOn w:val="DefaultParagraphFont"/>
    <w:uiPriority w:val="99"/>
    <w:semiHidden/>
    <w:unhideWhenUsed/>
    <w:rsid w:val="007273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33097">
      <w:bodyDiv w:val="1"/>
      <w:marLeft w:val="0"/>
      <w:marRight w:val="0"/>
      <w:marTop w:val="0"/>
      <w:marBottom w:val="0"/>
      <w:divBdr>
        <w:top w:val="none" w:sz="0" w:space="0" w:color="auto"/>
        <w:left w:val="none" w:sz="0" w:space="0" w:color="auto"/>
        <w:bottom w:val="none" w:sz="0" w:space="0" w:color="auto"/>
        <w:right w:val="none" w:sz="0" w:space="0" w:color="auto"/>
      </w:divBdr>
    </w:div>
    <w:div w:id="1353534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earlak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hurson@lambert.com" TargetMode="External"/><Relationship Id="rId4" Type="http://schemas.openxmlformats.org/officeDocument/2006/relationships/webSettings" Target="webSettings.xml"/><Relationship Id="rId9" Type="http://schemas.openxmlformats.org/officeDocument/2006/relationships/hyperlink" Target="http://www.mvcredi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86D66-96C0-48DB-AA43-D3B145D16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Hurson</dc:creator>
  <cp:lastModifiedBy>Fred Ebrahemi</cp:lastModifiedBy>
  <cp:revision>5</cp:revision>
  <dcterms:created xsi:type="dcterms:W3CDTF">2024-09-01T18:03:00Z</dcterms:created>
  <dcterms:modified xsi:type="dcterms:W3CDTF">2024-09-03T03:10:00Z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d18aa4-ed64-4d59-b931-5ad635491991_Enabled">
    <vt:lpwstr>true</vt:lpwstr>
  </property>
  <property fmtid="{D5CDD505-2E9C-101B-9397-08002B2CF9AE}" pid="3" name="MSIP_Label_7dd18aa4-ed64-4d59-b931-5ad635491991_SetDate">
    <vt:lpwstr>2024-08-28T19:16:06Z</vt:lpwstr>
  </property>
  <property fmtid="{D5CDD505-2E9C-101B-9397-08002B2CF9AE}" pid="4" name="MSIP_Label_7dd18aa4-ed64-4d59-b931-5ad635491991_Method">
    <vt:lpwstr>Privileged</vt:lpwstr>
  </property>
  <property fmtid="{D5CDD505-2E9C-101B-9397-08002B2CF9AE}" pid="5" name="MSIP_Label_7dd18aa4-ed64-4d59-b931-5ad635491991_Name">
    <vt:lpwstr>Standard</vt:lpwstr>
  </property>
  <property fmtid="{D5CDD505-2E9C-101B-9397-08002B2CF9AE}" pid="6" name="MSIP_Label_7dd18aa4-ed64-4d59-b931-5ad635491991_SiteId">
    <vt:lpwstr>d5bb6d35-8a82-4329-b49a-5030bd6497ab</vt:lpwstr>
  </property>
  <property fmtid="{D5CDD505-2E9C-101B-9397-08002B2CF9AE}" pid="7" name="MSIP_Label_7dd18aa4-ed64-4d59-b931-5ad635491991_ActionId">
    <vt:lpwstr>3b462bf0-24d1-424b-ba9d-8ad0b0065b01</vt:lpwstr>
  </property>
  <property fmtid="{D5CDD505-2E9C-101B-9397-08002B2CF9AE}" pid="8" name="MSIP_Label_7dd18aa4-ed64-4d59-b931-5ad635491991_ContentBits">
    <vt:lpwstr>0</vt:lpwstr>
  </property>
</Properties>
</file>